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Рауфа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лицом, в отношении которого решением Невьянского городского суда Свердловской области от 09 февраля 2023 года установлен административный надзор сроком на 10 лет и административные ограничения: обязательной явки четыре раза в месяц в орган внутренних дел по месту жительства, пребывания или фактического нахождения для регистрации; запрещения пребывания вне места жительства в период с 22:00 до 6.00; запрета выезда за пределы места жительства, пребывания или фактического нахождения без разрешения органа внутренних дел; запрета нахождения на территории или иной непосредственной близости образовательных учреждений, в том числе дошкольных; в зданиях 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r>
        <w:rPr>
          <w:rFonts w:ascii="Times New Roman" w:eastAsia="Times New Roman" w:hAnsi="Times New Roman" w:cs="Times New Roman"/>
          <w:sz w:val="26"/>
          <w:szCs w:val="26"/>
        </w:rPr>
        <w:t>-образовательных и иных учреждений, где могут находиться несовершеннолетние (детские сады, школы, центры и другое.),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привлеченным к административной ответственности по ч.1 ст.19.24 КоАП РФ,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 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Представил копию трудового договора.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31775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рапортом сотрудника полиции, составленным по обстоятельствам события административного правонарушения,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Белый Яр)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копией решения Невьянского городского суда Свердловской области от 09 февраля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сведениями </w:t>
      </w:r>
      <w:r>
        <w:rPr>
          <w:rFonts w:ascii="Times New Roman" w:eastAsia="Times New Roman" w:hAnsi="Times New Roman" w:cs="Times New Roman"/>
          <w:sz w:val="26"/>
          <w:szCs w:val="26"/>
        </w:rPr>
        <w:t>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Мамедовым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Рауфа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</w:t>
      </w:r>
      <w:r>
        <w:rPr>
          <w:rFonts w:ascii="Times New Roman" w:eastAsia="Times New Roman" w:hAnsi="Times New Roman" w:cs="Times New Roman"/>
          <w:sz w:val="26"/>
          <w:szCs w:val="26"/>
        </w:rPr>
        <w:t>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22rplc-15">
    <w:name w:val="cat-PassportData grp-22 rplc-15"/>
    <w:basedOn w:val="DefaultParagraphFont"/>
  </w:style>
  <w:style w:type="character" w:customStyle="1" w:styleId="cat-ExternalSystemDefinedgrp-27rplc-16">
    <w:name w:val="cat-ExternalSystemDefined grp-27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  <w:style w:type="character" w:customStyle="1" w:styleId="cat-ExternalSystemDefinedgrp-30rplc-18">
    <w:name w:val="cat-ExternalSystemDefined grp-30 rplc-18"/>
    <w:basedOn w:val="DefaultParagraphFont"/>
  </w:style>
  <w:style w:type="character" w:customStyle="1" w:styleId="cat-ExternalSystemDefinedgrp-28rplc-19">
    <w:name w:val="cat-ExternalSystemDefined grp-2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